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5978" w14:textId="77777777" w:rsidR="00430B4B" w:rsidRDefault="00430B4B">
      <w:pPr>
        <w:spacing w:before="4"/>
        <w:rPr>
          <w:rFonts w:ascii="Times New Roman" w:eastAsia="Times New Roman" w:hAnsi="Times New Roman" w:cs="Times New Roman"/>
          <w:sz w:val="6"/>
          <w:szCs w:val="6"/>
        </w:rPr>
      </w:pPr>
    </w:p>
    <w:p w14:paraId="3F1D3260" w14:textId="77777777" w:rsidR="00430B4B" w:rsidRPr="00ED6AEB" w:rsidRDefault="00A02031">
      <w:pPr>
        <w:spacing w:line="200" w:lineRule="atLeast"/>
        <w:ind w:left="2286"/>
        <w:rPr>
          <w:rFonts w:ascii="Times New Roman" w:eastAsia="Times New Roman" w:hAnsi="Times New Roman" w:cs="Times New Roman"/>
          <w:sz w:val="34"/>
          <w:szCs w:val="34"/>
        </w:rPr>
      </w:pPr>
      <w:r w:rsidRPr="00ED6AEB">
        <w:rPr>
          <w:rFonts w:ascii="Times New Roman" w:eastAsia="Times New Roman" w:hAnsi="Times New Roman" w:cs="Times New Roman"/>
          <w:noProof/>
          <w:sz w:val="34"/>
          <w:szCs w:val="34"/>
        </w:rPr>
        <w:drawing>
          <wp:inline distT="0" distB="0" distL="0" distR="0" wp14:anchorId="385FEDC8" wp14:editId="5331E0A2">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02B4CE63" w14:textId="2DE5A34A" w:rsidR="00ED6AEB" w:rsidRDefault="00ED6AEB" w:rsidP="00ED6AEB">
      <w:pPr>
        <w:jc w:val="center"/>
        <w:rPr>
          <w:rFonts w:ascii="Times New Roman" w:eastAsia="Arial" w:hAnsi="Times New Roman" w:cs="Times New Roman"/>
          <w:b/>
          <w:sz w:val="34"/>
          <w:szCs w:val="34"/>
        </w:rPr>
      </w:pPr>
      <w:r w:rsidRPr="00ED6AEB">
        <w:rPr>
          <w:rFonts w:ascii="Times New Roman" w:eastAsia="Arial" w:hAnsi="Times New Roman" w:cs="Times New Roman"/>
          <w:b/>
          <w:sz w:val="34"/>
          <w:szCs w:val="34"/>
        </w:rPr>
        <w:t xml:space="preserve">Divergent Levels of Functional Connectivity Between Black Americans and </w:t>
      </w:r>
      <w:proofErr w:type="spellStart"/>
      <w:r w:rsidRPr="00ED6AEB">
        <w:rPr>
          <w:rFonts w:ascii="Times New Roman" w:eastAsia="Arial" w:hAnsi="Times New Roman" w:cs="Times New Roman"/>
          <w:b/>
          <w:sz w:val="34"/>
          <w:szCs w:val="34"/>
        </w:rPr>
        <w:t>Nonhispanic</w:t>
      </w:r>
      <w:proofErr w:type="spellEnd"/>
      <w:r w:rsidRPr="00ED6AEB">
        <w:rPr>
          <w:rFonts w:ascii="Times New Roman" w:eastAsia="Arial" w:hAnsi="Times New Roman" w:cs="Times New Roman"/>
          <w:b/>
          <w:sz w:val="34"/>
          <w:szCs w:val="34"/>
        </w:rPr>
        <w:t xml:space="preserve"> Whites.</w:t>
      </w:r>
    </w:p>
    <w:p w14:paraId="5DB61849" w14:textId="77777777" w:rsidR="00ED6AEB" w:rsidRPr="00ED6AEB" w:rsidRDefault="00ED6AEB" w:rsidP="00ED6AEB">
      <w:pPr>
        <w:jc w:val="center"/>
        <w:rPr>
          <w:rFonts w:ascii="Times New Roman" w:eastAsia="Arial" w:hAnsi="Times New Roman" w:cs="Times New Roman"/>
          <w:sz w:val="34"/>
          <w:szCs w:val="34"/>
        </w:rPr>
      </w:pPr>
    </w:p>
    <w:p w14:paraId="05BCA8F1" w14:textId="77777777" w:rsidR="00ED6AEB" w:rsidRDefault="00ED6AEB" w:rsidP="00ED6AEB">
      <w:pPr>
        <w:jc w:val="center"/>
        <w:rPr>
          <w:rFonts w:ascii="Arial" w:eastAsia="Arial" w:hAnsi="Arial" w:cs="Arial"/>
          <w:sz w:val="24"/>
          <w:szCs w:val="24"/>
        </w:rPr>
      </w:pPr>
      <w:proofErr w:type="spellStart"/>
      <w:r>
        <w:rPr>
          <w:rFonts w:ascii="Arial" w:eastAsia="Arial" w:hAnsi="Arial" w:cs="Arial"/>
          <w:sz w:val="24"/>
          <w:szCs w:val="24"/>
        </w:rPr>
        <w:t>Chinkuli</w:t>
      </w:r>
      <w:proofErr w:type="spellEnd"/>
      <w:r>
        <w:rPr>
          <w:rFonts w:ascii="Arial" w:eastAsia="Arial" w:hAnsi="Arial" w:cs="Arial"/>
          <w:sz w:val="24"/>
          <w:szCs w:val="24"/>
        </w:rPr>
        <w:t xml:space="preserve"> Munkombwe</w:t>
      </w:r>
      <w:r>
        <w:rPr>
          <w:rFonts w:ascii="Arial" w:eastAsia="Arial" w:hAnsi="Arial" w:cs="Arial"/>
          <w:sz w:val="24"/>
          <w:szCs w:val="24"/>
          <w:vertAlign w:val="superscript"/>
        </w:rPr>
        <w:t>1</w:t>
      </w:r>
      <w:r>
        <w:rPr>
          <w:rFonts w:ascii="Arial" w:eastAsia="Arial" w:hAnsi="Arial" w:cs="Arial"/>
          <w:sz w:val="24"/>
          <w:szCs w:val="24"/>
        </w:rPr>
        <w:t>, Maria Misiura</w:t>
      </w:r>
      <w:r>
        <w:rPr>
          <w:rFonts w:ascii="Arial" w:eastAsia="Arial" w:hAnsi="Arial" w:cs="Arial"/>
          <w:sz w:val="24"/>
          <w:szCs w:val="24"/>
          <w:vertAlign w:val="superscript"/>
        </w:rPr>
        <w:t>2</w:t>
      </w:r>
      <w:r>
        <w:rPr>
          <w:rFonts w:ascii="Arial" w:eastAsia="Arial" w:hAnsi="Arial" w:cs="Arial"/>
          <w:sz w:val="24"/>
          <w:szCs w:val="24"/>
        </w:rPr>
        <w:t>, Gabriel Martinez</w:t>
      </w:r>
      <w:r>
        <w:rPr>
          <w:rFonts w:ascii="Arial" w:eastAsia="Arial" w:hAnsi="Arial" w:cs="Arial"/>
          <w:sz w:val="24"/>
          <w:szCs w:val="24"/>
          <w:vertAlign w:val="superscript"/>
        </w:rPr>
        <w:t>1</w:t>
      </w:r>
      <w:r>
        <w:rPr>
          <w:rFonts w:ascii="Arial" w:eastAsia="Arial" w:hAnsi="Arial" w:cs="Arial"/>
          <w:sz w:val="24"/>
          <w:szCs w:val="24"/>
        </w:rPr>
        <w:t>, Jessica A. Turner</w:t>
      </w:r>
      <w:r>
        <w:rPr>
          <w:rFonts w:ascii="Arial" w:eastAsia="Arial" w:hAnsi="Arial" w:cs="Arial"/>
          <w:sz w:val="24"/>
          <w:szCs w:val="24"/>
          <w:vertAlign w:val="superscript"/>
        </w:rPr>
        <w:t>2</w:t>
      </w:r>
    </w:p>
    <w:p w14:paraId="31A9D5CE" w14:textId="77777777" w:rsidR="00ED6AEB" w:rsidRDefault="00ED6AEB" w:rsidP="00ED6AEB">
      <w:pPr>
        <w:pBdr>
          <w:top w:val="nil"/>
          <w:left w:val="nil"/>
          <w:bottom w:val="nil"/>
          <w:right w:val="nil"/>
          <w:between w:val="nil"/>
        </w:pBdr>
        <w:jc w:val="center"/>
        <w:rPr>
          <w:rFonts w:ascii="Arial" w:eastAsia="Arial" w:hAnsi="Arial" w:cs="Arial"/>
          <w:color w:val="000000"/>
          <w:sz w:val="24"/>
          <w:szCs w:val="24"/>
          <w:vertAlign w:val="superscript"/>
        </w:rPr>
      </w:pPr>
    </w:p>
    <w:p w14:paraId="5B7C18C6" w14:textId="77777777" w:rsidR="00ED6AEB" w:rsidRDefault="00ED6AEB" w:rsidP="00ED6AEB">
      <w:pPr>
        <w:pBdr>
          <w:top w:val="nil"/>
          <w:left w:val="nil"/>
          <w:bottom w:val="nil"/>
          <w:right w:val="nil"/>
          <w:between w:val="nil"/>
        </w:pBdr>
        <w:jc w:val="center"/>
        <w:rPr>
          <w:rFonts w:ascii="Arial" w:eastAsia="Arial" w:hAnsi="Arial" w:cs="Arial"/>
          <w:i/>
          <w:color w:val="000000"/>
          <w:sz w:val="24"/>
          <w:szCs w:val="24"/>
        </w:rPr>
      </w:pPr>
      <w:r>
        <w:rPr>
          <w:rFonts w:ascii="Arial" w:eastAsia="Arial" w:hAnsi="Arial" w:cs="Arial"/>
          <w:color w:val="000000"/>
          <w:sz w:val="24"/>
          <w:szCs w:val="24"/>
          <w:vertAlign w:val="superscript"/>
        </w:rPr>
        <w:t>1</w:t>
      </w:r>
      <w:r>
        <w:rPr>
          <w:rFonts w:ascii="Arial" w:eastAsia="Arial" w:hAnsi="Arial" w:cs="Arial"/>
          <w:color w:val="000000"/>
          <w:sz w:val="24"/>
          <w:szCs w:val="24"/>
        </w:rPr>
        <w:t xml:space="preserve"> </w:t>
      </w:r>
      <w:r>
        <w:rPr>
          <w:rFonts w:ascii="Arial" w:eastAsia="Arial" w:hAnsi="Arial" w:cs="Arial"/>
          <w:i/>
          <w:color w:val="000000"/>
          <w:sz w:val="24"/>
          <w:szCs w:val="24"/>
        </w:rPr>
        <w:t>Neuroscience Institute, Georgia State University, Atlanta, GA</w:t>
      </w:r>
    </w:p>
    <w:p w14:paraId="42CF5512" w14:textId="77777777" w:rsidR="00ED6AEB" w:rsidRDefault="00ED6AEB" w:rsidP="00ED6AEB">
      <w:pPr>
        <w:pBdr>
          <w:top w:val="nil"/>
          <w:left w:val="nil"/>
          <w:bottom w:val="nil"/>
          <w:right w:val="nil"/>
          <w:between w:val="nil"/>
        </w:pBdr>
        <w:jc w:val="center"/>
        <w:rPr>
          <w:rFonts w:ascii="Arial" w:eastAsia="Arial" w:hAnsi="Arial" w:cs="Arial"/>
          <w:i/>
          <w:color w:val="000000"/>
          <w:sz w:val="24"/>
          <w:szCs w:val="24"/>
        </w:rPr>
      </w:pPr>
    </w:p>
    <w:p w14:paraId="26FF7805" w14:textId="77777777" w:rsidR="00ED6AEB" w:rsidRDefault="00ED6AEB" w:rsidP="00ED6AEB">
      <w:pPr>
        <w:pBdr>
          <w:top w:val="nil"/>
          <w:left w:val="nil"/>
          <w:bottom w:val="nil"/>
          <w:right w:val="nil"/>
          <w:between w:val="nil"/>
        </w:pBdr>
        <w:jc w:val="center"/>
        <w:rPr>
          <w:rFonts w:ascii="Arial" w:eastAsia="Arial" w:hAnsi="Arial" w:cs="Arial"/>
          <w:i/>
          <w:color w:val="000000"/>
          <w:sz w:val="24"/>
          <w:szCs w:val="24"/>
        </w:rPr>
      </w:pPr>
      <w:r>
        <w:rPr>
          <w:rFonts w:ascii="Arial" w:eastAsia="Arial" w:hAnsi="Arial" w:cs="Arial"/>
          <w:color w:val="000000"/>
          <w:sz w:val="24"/>
          <w:szCs w:val="24"/>
          <w:vertAlign w:val="superscript"/>
        </w:rPr>
        <w:t>2</w:t>
      </w:r>
      <w:r>
        <w:rPr>
          <w:rFonts w:ascii="Arial" w:eastAsia="Arial" w:hAnsi="Arial" w:cs="Arial"/>
          <w:i/>
          <w:color w:val="000000"/>
          <w:sz w:val="24"/>
          <w:szCs w:val="24"/>
        </w:rPr>
        <w:t xml:space="preserve"> Department of Psychology, Georgia State University, Atlanta, GA &amp; Center for translational research in neuroimaging and data science, Atlanta, GA</w:t>
      </w:r>
    </w:p>
    <w:p w14:paraId="31AC218C" w14:textId="77777777" w:rsidR="00ED6AEB" w:rsidRDefault="00ED6AEB" w:rsidP="00ED6AEB">
      <w:pPr>
        <w:pBdr>
          <w:top w:val="nil"/>
          <w:left w:val="nil"/>
          <w:bottom w:val="nil"/>
          <w:right w:val="nil"/>
          <w:between w:val="nil"/>
        </w:pBdr>
        <w:rPr>
          <w:rFonts w:ascii="Arial" w:eastAsia="Arial" w:hAnsi="Arial" w:cs="Arial"/>
          <w:i/>
          <w:color w:val="000000"/>
          <w:sz w:val="24"/>
          <w:szCs w:val="24"/>
        </w:rPr>
      </w:pPr>
    </w:p>
    <w:p w14:paraId="7E68ED74" w14:textId="6D7A0812" w:rsidR="00430B4B" w:rsidRPr="00ED6AEB" w:rsidRDefault="00ED6AEB" w:rsidP="00ED6AE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May 12, 2020</w:t>
      </w:r>
    </w:p>
    <w:p w14:paraId="176ECE2A" w14:textId="77777777" w:rsidR="00ED6AEB" w:rsidRDefault="00ED6AEB" w:rsidP="00ED6AEB">
      <w:pPr>
        <w:pBdr>
          <w:top w:val="nil"/>
          <w:left w:val="nil"/>
          <w:bottom w:val="nil"/>
          <w:right w:val="nil"/>
          <w:between w:val="nil"/>
        </w:pBdr>
        <w:jc w:val="center"/>
        <w:rPr>
          <w:rFonts w:ascii="Arial" w:eastAsia="Arial" w:hAnsi="Arial" w:cs="Arial"/>
          <w:b/>
          <w:color w:val="000000"/>
          <w:sz w:val="24"/>
          <w:szCs w:val="24"/>
        </w:rPr>
      </w:pPr>
    </w:p>
    <w:p w14:paraId="288E4555" w14:textId="77777777" w:rsidR="00ED6AEB" w:rsidRDefault="00ED6AEB" w:rsidP="00ED6AEB">
      <w:pPr>
        <w:pBdr>
          <w:top w:val="nil"/>
          <w:left w:val="nil"/>
          <w:bottom w:val="nil"/>
          <w:right w:val="nil"/>
          <w:between w:val="nil"/>
        </w:pBdr>
        <w:jc w:val="center"/>
        <w:rPr>
          <w:rFonts w:ascii="Arial" w:eastAsia="Arial" w:hAnsi="Arial" w:cs="Arial"/>
          <w:b/>
          <w:color w:val="000000"/>
          <w:sz w:val="24"/>
          <w:szCs w:val="24"/>
        </w:rPr>
      </w:pPr>
    </w:p>
    <w:p w14:paraId="1A6A835D" w14:textId="75069F53" w:rsidR="00430B4B" w:rsidRPr="00ED6AEB" w:rsidRDefault="00ED6AEB" w:rsidP="00ED6AE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Abstract</w:t>
      </w:r>
    </w:p>
    <w:p w14:paraId="033E42F5" w14:textId="77777777" w:rsidR="00430B4B" w:rsidRDefault="00430B4B">
      <w:pPr>
        <w:rPr>
          <w:rFonts w:ascii="Times New Roman" w:eastAsia="Times New Roman" w:hAnsi="Times New Roman" w:cs="Times New Roman"/>
          <w:sz w:val="20"/>
          <w:szCs w:val="20"/>
        </w:rPr>
      </w:pPr>
    </w:p>
    <w:p w14:paraId="26AE19DC" w14:textId="38B900CC" w:rsidR="00ED6AEB" w:rsidRPr="00ED6AEB" w:rsidRDefault="00ED6AEB" w:rsidP="00ED6AEB">
      <w:pPr>
        <w:pBdr>
          <w:top w:val="nil"/>
          <w:left w:val="nil"/>
          <w:bottom w:val="nil"/>
          <w:right w:val="nil"/>
          <w:between w:val="nil"/>
        </w:pBdr>
        <w:ind w:left="720"/>
        <w:rPr>
          <w:rFonts w:ascii="Arial" w:eastAsia="Arial" w:hAnsi="Arial" w:cs="Arial"/>
          <w:color w:val="000000"/>
          <w:szCs w:val="24"/>
        </w:rPr>
      </w:pPr>
      <w:r w:rsidRPr="00ED6AEB">
        <w:rPr>
          <w:rFonts w:ascii="Arial" w:eastAsia="Arial" w:hAnsi="Arial" w:cs="Arial"/>
          <w:color w:val="000000"/>
          <w:szCs w:val="24"/>
        </w:rPr>
        <w:t xml:space="preserve">Black Americans are twice as likely as </w:t>
      </w:r>
      <w:proofErr w:type="spellStart"/>
      <w:r w:rsidRPr="00ED6AEB">
        <w:rPr>
          <w:rFonts w:ascii="Arial" w:eastAsia="Arial" w:hAnsi="Arial" w:cs="Arial"/>
          <w:color w:val="000000"/>
          <w:szCs w:val="24"/>
        </w:rPr>
        <w:t>Nonhispanic</w:t>
      </w:r>
      <w:proofErr w:type="spellEnd"/>
      <w:r w:rsidRPr="00ED6AEB">
        <w:rPr>
          <w:rFonts w:ascii="Arial" w:eastAsia="Arial" w:hAnsi="Arial" w:cs="Arial"/>
          <w:color w:val="000000"/>
          <w:szCs w:val="24"/>
        </w:rPr>
        <w:t xml:space="preserve"> Whites to develop Alzheimer’s Disease. In a past study, we found that race modifies the relationship between </w:t>
      </w:r>
      <w:r w:rsidRPr="00ED6AEB">
        <w:rPr>
          <w:rFonts w:ascii="Arial" w:eastAsia="Arial" w:hAnsi="Arial" w:cs="Arial"/>
          <w:szCs w:val="24"/>
        </w:rPr>
        <w:t>neuroimaging</w:t>
      </w:r>
      <w:r w:rsidRPr="00ED6AEB">
        <w:rPr>
          <w:rFonts w:ascii="Arial" w:eastAsia="Arial" w:hAnsi="Arial" w:cs="Arial"/>
          <w:color w:val="000000"/>
          <w:szCs w:val="24"/>
        </w:rPr>
        <w:t xml:space="preserve"> measures and Alzheimer’s biomarkers between functionally connected regions in the brains of Black Americans. In this study, we aim to replicate these findings in a larger cohort of participants and explore what other factors might be contributing to the observed biomarker-connectivity relationship. We found a marginally significant interaction for race by diagnosis such that Black Americans with dementia had lower connectivity between the precuneus and temporal pole. </w:t>
      </w:r>
      <w:r w:rsidRPr="00ED6AEB">
        <w:rPr>
          <w:rFonts w:ascii="Arial" w:eastAsia="Arial" w:hAnsi="Arial" w:cs="Arial"/>
          <w:szCs w:val="24"/>
        </w:rPr>
        <w:t>In contrast,</w:t>
      </w:r>
      <w:r w:rsidRPr="00ED6AEB">
        <w:rPr>
          <w:rFonts w:ascii="Arial" w:eastAsia="Arial" w:hAnsi="Arial" w:cs="Arial"/>
          <w:color w:val="000000"/>
          <w:szCs w:val="24"/>
        </w:rPr>
        <w:t xml:space="preserve"> our previous study found that Black Americans had increased connectivity within these regions. </w:t>
      </w:r>
    </w:p>
    <w:p w14:paraId="2C605493" w14:textId="77777777" w:rsidR="00ED6AEB" w:rsidRDefault="00ED6AEB" w:rsidP="00ED6AEB">
      <w:pPr>
        <w:pBdr>
          <w:top w:val="nil"/>
          <w:left w:val="nil"/>
          <w:bottom w:val="nil"/>
          <w:right w:val="nil"/>
          <w:between w:val="nil"/>
        </w:pBdr>
        <w:ind w:left="720"/>
        <w:rPr>
          <w:rFonts w:ascii="Arial" w:eastAsia="Arial" w:hAnsi="Arial" w:cs="Arial"/>
          <w:color w:val="000000"/>
          <w:sz w:val="24"/>
          <w:szCs w:val="24"/>
        </w:rPr>
      </w:pPr>
    </w:p>
    <w:p w14:paraId="0022DAC7"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542FAD34"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32"/>
          <w:szCs w:val="32"/>
        </w:rPr>
        <w:t>Introduction</w:t>
      </w:r>
    </w:p>
    <w:p w14:paraId="4414847A"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Studies have shown that the higher prevalence of Alzheimer’s Disease (AD) in Black Americans can be linked to the modified presence of risk factors between ethnicities. For example, Black Americans are more likely to contract vascular diseases [1], and by extension, have a higher volume of white matter hyperintensities (WMH) in the brain [2]. However, this increased level of risk factors does not adequately explain the neurological differences observed between Black Americans and </w:t>
      </w:r>
      <w:proofErr w:type="spellStart"/>
      <w:r>
        <w:rPr>
          <w:rFonts w:ascii="Arial" w:eastAsia="Arial" w:hAnsi="Arial" w:cs="Arial"/>
          <w:color w:val="000000"/>
          <w:sz w:val="24"/>
          <w:szCs w:val="24"/>
        </w:rPr>
        <w:t>Nonhispanic</w:t>
      </w:r>
      <w:proofErr w:type="spellEnd"/>
      <w:r>
        <w:rPr>
          <w:rFonts w:ascii="Arial" w:eastAsia="Arial" w:hAnsi="Arial" w:cs="Arial"/>
          <w:color w:val="000000"/>
          <w:sz w:val="24"/>
          <w:szCs w:val="24"/>
        </w:rPr>
        <w:t xml:space="preserve"> Whites. </w:t>
      </w:r>
    </w:p>
    <w:p w14:paraId="622B035A"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272C7507"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It is common in studies involving AD to employ functional Magnetic Resonance Imaging (fMRI) to study correlated Blood Oxygen Level Dependent (BOLD) signal between Default Mode Network (DMN) subsystems. The DMN is a useful imaging biomarker for AD made up of the precuneus, posterior cingulate cortex (PCC), the inferior parietal lobule (IPL), and the ventromedial prefrontal cortex (</w:t>
      </w:r>
      <w:proofErr w:type="spellStart"/>
      <w:r>
        <w:rPr>
          <w:rFonts w:ascii="Arial" w:eastAsia="Arial" w:hAnsi="Arial" w:cs="Arial"/>
          <w:color w:val="000000"/>
          <w:sz w:val="24"/>
          <w:szCs w:val="24"/>
        </w:rPr>
        <w:t>vmPFC</w:t>
      </w:r>
      <w:proofErr w:type="spellEnd"/>
      <w:r>
        <w:rPr>
          <w:rFonts w:ascii="Arial" w:eastAsia="Arial" w:hAnsi="Arial" w:cs="Arial"/>
          <w:color w:val="000000"/>
          <w:sz w:val="24"/>
          <w:szCs w:val="24"/>
        </w:rPr>
        <w:t xml:space="preserve">) [3]. These </w:t>
      </w:r>
      <w:r>
        <w:rPr>
          <w:rFonts w:ascii="Arial" w:eastAsia="Arial" w:hAnsi="Arial" w:cs="Arial"/>
          <w:sz w:val="24"/>
          <w:szCs w:val="24"/>
        </w:rPr>
        <w:t>brain areas</w:t>
      </w:r>
      <w:r>
        <w:rPr>
          <w:rFonts w:ascii="Arial" w:eastAsia="Arial" w:hAnsi="Arial" w:cs="Arial"/>
          <w:color w:val="000000"/>
          <w:sz w:val="24"/>
          <w:szCs w:val="24"/>
        </w:rPr>
        <w:t xml:space="preserve"> are </w:t>
      </w:r>
      <w:r>
        <w:rPr>
          <w:rFonts w:ascii="Arial" w:eastAsia="Arial" w:hAnsi="Arial" w:cs="Arial"/>
          <w:sz w:val="24"/>
          <w:szCs w:val="24"/>
        </w:rPr>
        <w:t>helpful</w:t>
      </w:r>
      <w:r>
        <w:rPr>
          <w:rFonts w:ascii="Arial" w:eastAsia="Arial" w:hAnsi="Arial" w:cs="Arial"/>
          <w:color w:val="000000"/>
          <w:sz w:val="24"/>
          <w:szCs w:val="24"/>
        </w:rPr>
        <w:t xml:space="preserve"> when studying AD because they are the most vulnerable to atrophy and show correlated longitudinal change in functional connectivity as the disease progresses. </w:t>
      </w:r>
      <w:r>
        <w:rPr>
          <w:rFonts w:ascii="Arial" w:eastAsia="Arial" w:hAnsi="Arial" w:cs="Arial"/>
          <w:sz w:val="24"/>
          <w:szCs w:val="24"/>
        </w:rPr>
        <w:t>Therefore, functional</w:t>
      </w:r>
      <w:r>
        <w:rPr>
          <w:rFonts w:ascii="Arial" w:eastAsia="Arial" w:hAnsi="Arial" w:cs="Arial"/>
          <w:color w:val="000000"/>
          <w:sz w:val="24"/>
          <w:szCs w:val="24"/>
        </w:rPr>
        <w:t xml:space="preserve"> connectivity in the DMN can also be used to track disease progression both before and after the onset of symptoms. </w:t>
      </w:r>
    </w:p>
    <w:p w14:paraId="6F926582"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5E4D0F81"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past study demonstrated that there is a racial difference in the relationship between connectivity in the DMN and typical AD biomarkers [4]. We suspect that these differences would correlate with the variance in disease progression between races as well as the </w:t>
      </w:r>
      <w:r>
        <w:rPr>
          <w:rFonts w:ascii="Arial" w:eastAsia="Arial" w:hAnsi="Arial" w:cs="Arial"/>
          <w:color w:val="000000"/>
          <w:sz w:val="24"/>
          <w:szCs w:val="24"/>
        </w:rPr>
        <w:lastRenderedPageBreak/>
        <w:t xml:space="preserve">modified neurological relationships. In this study, we aimed to replicate these findings </w:t>
      </w:r>
      <w:r>
        <w:rPr>
          <w:rFonts w:ascii="Arial" w:eastAsia="Arial" w:hAnsi="Arial" w:cs="Arial"/>
          <w:sz w:val="24"/>
          <w:szCs w:val="24"/>
        </w:rPr>
        <w:t>to strengthen this hypothesis further</w:t>
      </w:r>
      <w:r>
        <w:rPr>
          <w:rFonts w:ascii="Arial" w:eastAsia="Arial" w:hAnsi="Arial" w:cs="Arial"/>
          <w:color w:val="000000"/>
          <w:sz w:val="24"/>
          <w:szCs w:val="24"/>
        </w:rPr>
        <w:t xml:space="preserve"> and identify what changes in the brain are unique to race. </w:t>
      </w:r>
    </w:p>
    <w:p w14:paraId="4D58BBA1"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6022DB50" w14:textId="77777777" w:rsidR="00ED6AEB" w:rsidRDefault="00ED6AEB" w:rsidP="00ED6AEB">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Methods</w:t>
      </w:r>
    </w:p>
    <w:p w14:paraId="3444855F"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Participants</w:t>
      </w:r>
    </w:p>
    <w:p w14:paraId="43BD6A46"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study analyzed data from the Open Access of Imaging Studies (OASIS-3) dataset [5]. OASIS-3 is a longitudinal neuroimaging, clinical, cognitive, and biomarker dataset for normal aging and Alzheimer’s Disease. This dataset contained participants that self-reported their race and fell on the diagnostic spectrum of AD. Participants were classified as having either Normal Cognition (NC), Mild Cognitive Impairment (MCI), or AD dementia. </w:t>
      </w:r>
    </w:p>
    <w:p w14:paraId="54A2D453"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05B84647"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demographic table for participants included in the OASIS-3 dataset is shown below.</w:t>
      </w:r>
    </w:p>
    <w:p w14:paraId="096CC845"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2D4BB491"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Table 1. </w:t>
      </w:r>
    </w:p>
    <w:p w14:paraId="4C5AECAD"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Number of </w:t>
      </w:r>
      <w:proofErr w:type="spellStart"/>
      <w:r>
        <w:rPr>
          <w:rFonts w:ascii="Arial" w:eastAsia="Arial" w:hAnsi="Arial" w:cs="Arial"/>
          <w:i/>
          <w:color w:val="000000"/>
          <w:sz w:val="24"/>
          <w:szCs w:val="24"/>
        </w:rPr>
        <w:t>Nonhispanic</w:t>
      </w:r>
      <w:proofErr w:type="spellEnd"/>
      <w:r>
        <w:rPr>
          <w:rFonts w:ascii="Arial" w:eastAsia="Arial" w:hAnsi="Arial" w:cs="Arial"/>
          <w:i/>
          <w:color w:val="000000"/>
          <w:sz w:val="24"/>
          <w:szCs w:val="24"/>
        </w:rPr>
        <w:t xml:space="preserve"> White </w:t>
      </w:r>
      <w:r>
        <w:rPr>
          <w:rFonts w:ascii="Arial" w:eastAsia="Arial" w:hAnsi="Arial" w:cs="Arial"/>
          <w:color w:val="000000"/>
          <w:sz w:val="24"/>
          <w:szCs w:val="24"/>
        </w:rPr>
        <w:t>or</w:t>
      </w:r>
      <w:r>
        <w:rPr>
          <w:rFonts w:ascii="Arial" w:eastAsia="Arial" w:hAnsi="Arial" w:cs="Arial"/>
          <w:i/>
          <w:color w:val="000000"/>
          <w:sz w:val="24"/>
          <w:szCs w:val="24"/>
        </w:rPr>
        <w:t xml:space="preserve"> Black Americans</w:t>
      </w:r>
      <w:r>
        <w:rPr>
          <w:rFonts w:ascii="Arial" w:eastAsia="Arial" w:hAnsi="Arial" w:cs="Arial"/>
          <w:color w:val="000000"/>
          <w:sz w:val="24"/>
          <w:szCs w:val="24"/>
        </w:rPr>
        <w:t xml:space="preserve"> with either normal cognition or cognitive impairment.</w:t>
      </w:r>
    </w:p>
    <w:tbl>
      <w:tblPr>
        <w:tblW w:w="9080" w:type="dxa"/>
        <w:tblLayout w:type="fixed"/>
        <w:tblLook w:val="0400" w:firstRow="0" w:lastRow="0" w:firstColumn="0" w:lastColumn="0" w:noHBand="0" w:noVBand="1"/>
      </w:tblPr>
      <w:tblGrid>
        <w:gridCol w:w="1430"/>
        <w:gridCol w:w="3420"/>
        <w:gridCol w:w="4230"/>
      </w:tblGrid>
      <w:tr w:rsidR="00ED6AEB" w14:paraId="2BD1622A" w14:textId="77777777" w:rsidTr="00B318C1">
        <w:trPr>
          <w:trHeight w:val="123"/>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860F" w14:textId="77777777" w:rsidR="00ED6AEB" w:rsidRDefault="00ED6AEB" w:rsidP="00B318C1">
            <w:pPr>
              <w:pBdr>
                <w:top w:val="nil"/>
                <w:left w:val="nil"/>
                <w:bottom w:val="nil"/>
                <w:right w:val="nil"/>
                <w:between w:val="nil"/>
              </w:pBdr>
              <w:rPr>
                <w:rFonts w:ascii="Arial" w:eastAsia="Arial" w:hAnsi="Arial" w:cs="Arial"/>
                <w:color w:val="000000"/>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C5CA"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Normal Cognition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DB624"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Cognitively impaired</w:t>
            </w:r>
          </w:p>
        </w:tc>
      </w:tr>
      <w:tr w:rsidR="00ED6AEB" w14:paraId="0D7E9B63" w14:textId="77777777" w:rsidTr="00B318C1">
        <w:trPr>
          <w:trHeight w:val="348"/>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FABFE"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NHW</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5F4BB"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511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A9262"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195</w:t>
            </w:r>
          </w:p>
        </w:tc>
      </w:tr>
      <w:tr w:rsidR="00ED6AEB" w14:paraId="0F365212" w14:textId="77777777" w:rsidTr="00B318C1">
        <w:trPr>
          <w:trHeight w:val="429"/>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BDA03"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79602"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94</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29A4D"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39</w:t>
            </w:r>
          </w:p>
        </w:tc>
      </w:tr>
    </w:tbl>
    <w:p w14:paraId="31F724B4"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7147CEA7"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Table 2.</w:t>
      </w:r>
    </w:p>
    <w:p w14:paraId="6ACFBE86"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Mean age and number of participants who were either male or female.</w:t>
      </w:r>
    </w:p>
    <w:tbl>
      <w:tblPr>
        <w:tblW w:w="9080" w:type="dxa"/>
        <w:tblLayout w:type="fixed"/>
        <w:tblLook w:val="0400" w:firstRow="0" w:lastRow="0" w:firstColumn="0" w:lastColumn="0" w:noHBand="0" w:noVBand="1"/>
      </w:tblPr>
      <w:tblGrid>
        <w:gridCol w:w="1361"/>
        <w:gridCol w:w="1599"/>
        <w:gridCol w:w="1890"/>
        <w:gridCol w:w="1890"/>
        <w:gridCol w:w="2340"/>
      </w:tblGrid>
      <w:tr w:rsidR="00ED6AEB" w14:paraId="61AFAB9C" w14:textId="77777777" w:rsidTr="00B318C1">
        <w:trPr>
          <w:trHeight w:val="500"/>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CFD36"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34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AD50F"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Normal Cognition</w:t>
            </w:r>
          </w:p>
        </w:tc>
        <w:tc>
          <w:tcPr>
            <w:tcW w:w="4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C957C"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Cognitively Impaired</w:t>
            </w:r>
          </w:p>
        </w:tc>
      </w:tr>
      <w:tr w:rsidR="00ED6AEB" w14:paraId="2C338178" w14:textId="77777777" w:rsidTr="00B318C1">
        <w:trPr>
          <w:trHeight w:val="501"/>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7595D"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Mean (SD)</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C0885"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B7F2"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NHW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0B2C1"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68E8"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NHW</w:t>
            </w:r>
          </w:p>
        </w:tc>
      </w:tr>
      <w:tr w:rsidR="00ED6AEB" w14:paraId="01F4A1F3" w14:textId="77777777" w:rsidTr="00B318C1">
        <w:trPr>
          <w:trHeight w:val="420"/>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AB5BB"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Age</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A984F"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66.9 (9.25)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1CC37"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66.8 (9.63)</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438B2"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76.6 (8.09)</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BF90"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73.3 (7.01)</w:t>
            </w:r>
          </w:p>
        </w:tc>
      </w:tr>
      <w:tr w:rsidR="00ED6AEB" w14:paraId="13617200" w14:textId="77777777" w:rsidTr="00B318C1">
        <w:trPr>
          <w:trHeight w:val="375"/>
        </w:trPr>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5A851"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Sex (M/F)</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6F862"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27/66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3809F"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217/294</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A365E"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17/20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8F7D"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111/81</w:t>
            </w:r>
          </w:p>
        </w:tc>
      </w:tr>
    </w:tbl>
    <w:p w14:paraId="1C5F1756"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070EED9A"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Table 3.</w:t>
      </w:r>
    </w:p>
    <w:p w14:paraId="62BDD8A0"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282C6E5C"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Number of participants having either normal cognition (NC) or dementia who were male (M) or female (F), along with the number of those who were Black American (BA) or </w:t>
      </w:r>
      <w:proofErr w:type="spellStart"/>
      <w:r>
        <w:rPr>
          <w:rFonts w:ascii="Arial" w:eastAsia="Arial" w:hAnsi="Arial" w:cs="Arial"/>
          <w:color w:val="000000"/>
          <w:sz w:val="24"/>
          <w:szCs w:val="24"/>
        </w:rPr>
        <w:t>Nonhispanic</w:t>
      </w:r>
      <w:proofErr w:type="spellEnd"/>
      <w:r>
        <w:rPr>
          <w:rFonts w:ascii="Arial" w:eastAsia="Arial" w:hAnsi="Arial" w:cs="Arial"/>
          <w:color w:val="000000"/>
          <w:sz w:val="24"/>
          <w:szCs w:val="24"/>
        </w:rPr>
        <w:t xml:space="preserve"> white (NHW), and the mean age and standard deviation under these diagnostic categories.</w:t>
      </w:r>
    </w:p>
    <w:tbl>
      <w:tblPr>
        <w:tblW w:w="5120" w:type="dxa"/>
        <w:tblLayout w:type="fixed"/>
        <w:tblLook w:val="0400" w:firstRow="0" w:lastRow="0" w:firstColumn="0" w:lastColumn="0" w:noHBand="0" w:noVBand="1"/>
      </w:tblPr>
      <w:tblGrid>
        <w:gridCol w:w="1430"/>
        <w:gridCol w:w="1800"/>
        <w:gridCol w:w="1890"/>
      </w:tblGrid>
      <w:tr w:rsidR="00ED6AEB" w14:paraId="43D0DAB8" w14:textId="77777777" w:rsidTr="00B318C1">
        <w:trPr>
          <w:trHeight w:val="515"/>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2790B"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A689F"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NC</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7C7E"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Dementia</w:t>
            </w:r>
          </w:p>
        </w:tc>
      </w:tr>
      <w:tr w:rsidR="00ED6AEB" w14:paraId="126DF7F8" w14:textId="77777777" w:rsidTr="00B318C1">
        <w:trPr>
          <w:trHeight w:val="348"/>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3A2BB"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M/F</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AA44"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246/359</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EAD5F"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130/104</w:t>
            </w:r>
          </w:p>
        </w:tc>
      </w:tr>
      <w:tr w:rsidR="00ED6AEB" w14:paraId="707B4D03" w14:textId="77777777" w:rsidTr="00B318C1">
        <w:trPr>
          <w:trHeight w:val="402"/>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B2A6"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BA/NHW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3DB4"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94/511</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41374"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39/195</w:t>
            </w:r>
          </w:p>
        </w:tc>
      </w:tr>
      <w:tr w:rsidR="00ED6AEB" w14:paraId="598D3A83" w14:textId="77777777" w:rsidTr="00B318C1">
        <w:trPr>
          <w:trHeight w:val="501"/>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6604E"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Age (SD)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95FB0"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66.8(9.56)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A421" w14:textId="77777777" w:rsidR="00ED6AEB" w:rsidRDefault="00ED6AEB" w:rsidP="00B318C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73.8(7.28)</w:t>
            </w:r>
          </w:p>
        </w:tc>
      </w:tr>
    </w:tbl>
    <w:p w14:paraId="1A0A9A18"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23C650C7"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MRI acquisition and preprocessing.</w:t>
      </w:r>
      <w:r>
        <w:rPr>
          <w:rFonts w:ascii="Arial" w:eastAsia="Arial" w:hAnsi="Arial" w:cs="Arial"/>
          <w:color w:val="000000"/>
          <w:sz w:val="24"/>
          <w:szCs w:val="24"/>
          <w:u w:val="single"/>
        </w:rPr>
        <w:t> </w:t>
      </w:r>
    </w:p>
    <w:p w14:paraId="0A15B5C4"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We preprocessed the fMRI data using statistical parametric mapping (SPM12, http://www.fil.ion.ucl.ac.uk/spm/) under MATLAB 2016 environment. A rigid body motion correction was performed using the toolbox in SPM to correct subject head motion, followed by the slice-timing correction to account for timing difference in slice acquisition. The fMRI data were subsequently warped into the standard Montreal Neurological Institute (MNI) space using an echo-planar imaging (EPI) template and were slightly resampled to 3 × 3 ×3 mm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isotropic voxels. The resampled fMRI images were smoothed using a Gaussian kernel with a full width at half maximum (FWHM) = 6 mm. We performed nuisance covariate regression using the Group ICA of fMRI Toolbox (</w:t>
      </w:r>
      <w:proofErr w:type="spellStart"/>
      <w:r>
        <w:rPr>
          <w:rFonts w:ascii="Arial" w:eastAsia="Arial" w:hAnsi="Arial" w:cs="Arial"/>
          <w:color w:val="000000"/>
          <w:sz w:val="24"/>
          <w:szCs w:val="24"/>
        </w:rPr>
        <w:t>GIfT</w:t>
      </w:r>
      <w:proofErr w:type="spellEnd"/>
      <w:r>
        <w:rPr>
          <w:rFonts w:ascii="Arial" w:eastAsia="Arial" w:hAnsi="Arial" w:cs="Arial"/>
          <w:color w:val="000000"/>
          <w:sz w:val="24"/>
          <w:szCs w:val="24"/>
        </w:rPr>
        <w:t>).</w:t>
      </w:r>
    </w:p>
    <w:p w14:paraId="7DEAE103"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Seed-based connectivity</w:t>
      </w:r>
    </w:p>
    <w:p w14:paraId="36C734DD"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Connectivity analyses were performed using FSL. First, we created seed maps using the coordinates from Andrews-Hanna </w:t>
      </w:r>
      <w:r>
        <w:rPr>
          <w:rFonts w:ascii="Arial" w:eastAsia="Arial" w:hAnsi="Arial" w:cs="Arial"/>
          <w:sz w:val="24"/>
          <w:szCs w:val="24"/>
        </w:rPr>
        <w:t>et al.</w:t>
      </w:r>
      <w:r>
        <w:rPr>
          <w:rFonts w:ascii="Arial" w:eastAsia="Arial" w:hAnsi="Arial" w:cs="Arial"/>
          <w:color w:val="000000"/>
          <w:sz w:val="24"/>
          <w:szCs w:val="24"/>
        </w:rPr>
        <w:t xml:space="preserve">, 2010 and created seed maps from these coordinates. We then obtained the time course for each seed for each person using FSL. We correlated these time courses to obtain </w:t>
      </w:r>
      <w:r>
        <w:rPr>
          <w:rFonts w:ascii="Arial" w:eastAsia="Arial" w:hAnsi="Arial" w:cs="Arial"/>
          <w:sz w:val="24"/>
          <w:szCs w:val="24"/>
        </w:rPr>
        <w:t>connectivity measures</w:t>
      </w:r>
      <w:r>
        <w:rPr>
          <w:rFonts w:ascii="Arial" w:eastAsia="Arial" w:hAnsi="Arial" w:cs="Arial"/>
          <w:color w:val="000000"/>
          <w:sz w:val="24"/>
          <w:szCs w:val="24"/>
        </w:rPr>
        <w:t xml:space="preserve"> and performed Fisher z transformation on these raw correlation values.</w:t>
      </w:r>
    </w:p>
    <w:p w14:paraId="1343D708"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Statistical analyses</w:t>
      </w:r>
    </w:p>
    <w:p w14:paraId="2C9D1218" w14:textId="1A1B1E01"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constructed a linear model with precuneus to temporal pole connectivity as our outcome measure, race and diagnosis are our fixed effects, and included race x diagnosis as an interaction term. Our nuisance variables were gender and race. </w:t>
      </w:r>
    </w:p>
    <w:p w14:paraId="1D5AC0BE" w14:textId="77777777" w:rsidR="00ED6AEB" w:rsidRDefault="00ED6AEB" w:rsidP="00ED6AEB">
      <w:pPr>
        <w:pBdr>
          <w:top w:val="nil"/>
          <w:left w:val="nil"/>
          <w:bottom w:val="nil"/>
          <w:right w:val="nil"/>
          <w:between w:val="nil"/>
        </w:pBdr>
        <w:rPr>
          <w:rFonts w:ascii="Arial" w:eastAsia="Arial" w:hAnsi="Arial" w:cs="Arial"/>
          <w:color w:val="000000"/>
          <w:sz w:val="24"/>
          <w:szCs w:val="24"/>
        </w:rPr>
      </w:pPr>
      <w:bookmarkStart w:id="0" w:name="_GoBack"/>
      <w:bookmarkEnd w:id="0"/>
    </w:p>
    <w:p w14:paraId="20CBE170" w14:textId="77777777" w:rsidR="00ED6AEB" w:rsidRDefault="00ED6AEB" w:rsidP="00ED6AEB">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 xml:space="preserve">Results </w:t>
      </w:r>
    </w:p>
    <w:p w14:paraId="48943A70" w14:textId="77777777" w:rsidR="00ED6AEB" w:rsidRDefault="00ED6AEB" w:rsidP="00ED6AEB">
      <w:pPr>
        <w:pBdr>
          <w:top w:val="nil"/>
          <w:left w:val="nil"/>
          <w:bottom w:val="nil"/>
          <w:right w:val="nil"/>
          <w:between w:val="nil"/>
        </w:pBdr>
        <w:rPr>
          <w:rFonts w:ascii="Arial" w:eastAsia="Arial" w:hAnsi="Arial" w:cs="Arial"/>
          <w:b/>
          <w:color w:val="000000"/>
          <w:sz w:val="32"/>
          <w:szCs w:val="32"/>
        </w:rPr>
      </w:pPr>
    </w:p>
    <w:p w14:paraId="7992AFBA"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There was not a significant main effect of diagnosis (B= 1.908, t (5, 823) = 0.919, </w:t>
      </w:r>
      <w:r>
        <w:rPr>
          <w:rFonts w:ascii="Arial" w:eastAsia="Arial" w:hAnsi="Arial" w:cs="Arial"/>
          <w:i/>
          <w:color w:val="000000"/>
          <w:sz w:val="24"/>
          <w:szCs w:val="24"/>
        </w:rPr>
        <w:t>p</w:t>
      </w:r>
      <w:r>
        <w:rPr>
          <w:rFonts w:ascii="Arial" w:eastAsia="Arial" w:hAnsi="Arial" w:cs="Arial"/>
          <w:color w:val="000000"/>
          <w:sz w:val="24"/>
          <w:szCs w:val="24"/>
        </w:rPr>
        <w:t xml:space="preserve">=0.091). We identified a marginally significant interaction of race X diagnosis (B= 1.908, t (5, 833,) = -1.437, </w:t>
      </w:r>
      <w:r>
        <w:rPr>
          <w:rFonts w:ascii="Arial" w:eastAsia="Arial" w:hAnsi="Arial" w:cs="Arial"/>
          <w:i/>
          <w:color w:val="000000"/>
          <w:sz w:val="24"/>
          <w:szCs w:val="24"/>
        </w:rPr>
        <w:t>p</w:t>
      </w:r>
      <w:r>
        <w:rPr>
          <w:rFonts w:ascii="Arial" w:eastAsia="Arial" w:hAnsi="Arial" w:cs="Arial"/>
          <w:color w:val="000000"/>
          <w:sz w:val="24"/>
          <w:szCs w:val="24"/>
        </w:rPr>
        <w:t>= 0.01)</w:t>
      </w:r>
    </w:p>
    <w:p w14:paraId="0B6C78FF"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5B6A7D04"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Fig 1. Functional connectivity between the precuneus and temporal pole</w:t>
      </w:r>
    </w:p>
    <w:p w14:paraId="1F4AED01"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1872FE15" w14:textId="77777777" w:rsidR="00ED6AEB" w:rsidRDefault="00ED6AEB" w:rsidP="00ED6AE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31FBA93F" wp14:editId="1E98A563">
            <wp:extent cx="3645535" cy="32061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45535" cy="3206115"/>
                    </a:xfrm>
                    <a:prstGeom prst="rect">
                      <a:avLst/>
                    </a:prstGeom>
                    <a:ln/>
                  </pic:spPr>
                </pic:pic>
              </a:graphicData>
            </a:graphic>
          </wp:inline>
        </w:drawing>
      </w:r>
    </w:p>
    <w:p w14:paraId="0E8A2062"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6408FE48" w14:textId="77777777" w:rsidR="00ED6AEB" w:rsidRDefault="00ED6AEB" w:rsidP="00ED6AEB">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Conclusions</w:t>
      </w:r>
    </w:p>
    <w:p w14:paraId="480FF037" w14:textId="77777777" w:rsidR="00ED6AEB" w:rsidRDefault="00ED6AEB" w:rsidP="00ED6AEB">
      <w:pPr>
        <w:pBdr>
          <w:top w:val="nil"/>
          <w:left w:val="nil"/>
          <w:bottom w:val="nil"/>
          <w:right w:val="nil"/>
          <w:between w:val="nil"/>
        </w:pBdr>
        <w:rPr>
          <w:rFonts w:ascii="Arial" w:eastAsia="Arial" w:hAnsi="Arial" w:cs="Arial"/>
          <w:b/>
          <w:color w:val="000000"/>
          <w:sz w:val="32"/>
          <w:szCs w:val="32"/>
        </w:rPr>
      </w:pPr>
    </w:p>
    <w:p w14:paraId="267F4294"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We identified a marginally significant interaction for race x diagnosis such that in black Americans, connectivity was lower in those with dementia than those with normal cognition </w:t>
      </w:r>
      <w:r>
        <w:rPr>
          <w:rFonts w:ascii="Arial" w:eastAsia="Arial" w:hAnsi="Arial" w:cs="Arial"/>
          <w:color w:val="000000"/>
          <w:sz w:val="24"/>
          <w:szCs w:val="24"/>
        </w:rPr>
        <w:lastRenderedPageBreak/>
        <w:t>between the precuneus and temporal pole. In the previous analysis, Black Americans with dementia had increased connectivity between these regions. The lower connectivity is more in line with what we would expect for black Americans as the higher rates of vascular disease coupled with Alzheimer’s pathology may lead to lower functional connectivity in the presence of dementia. </w:t>
      </w:r>
    </w:p>
    <w:p w14:paraId="7B29DE03"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future studies, we hope to include typical AD biomarkers such as Amyloidβ-42 and CSF tau to investigate their interaction with race, connectivity, and diagnosis in a large cohort of participants. This study also included far more NHW than Black participants. However, it did include many BA participants so as to be as representative of a large population as possible.</w:t>
      </w:r>
    </w:p>
    <w:p w14:paraId="1037066A"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reasons behind the neurological differences found in Black Americans and Non-Hispanic whites with AD</w:t>
      </w:r>
      <w:r>
        <w:rPr>
          <w:rFonts w:ascii="Arial" w:eastAsia="Arial" w:hAnsi="Arial" w:cs="Arial"/>
          <w:sz w:val="24"/>
          <w:szCs w:val="24"/>
        </w:rPr>
        <w:t xml:space="preserve"> and</w:t>
      </w:r>
      <w:r>
        <w:rPr>
          <w:rFonts w:ascii="Arial" w:eastAsia="Arial" w:hAnsi="Arial" w:cs="Arial"/>
          <w:color w:val="000000"/>
          <w:sz w:val="24"/>
          <w:szCs w:val="24"/>
        </w:rPr>
        <w:t xml:space="preserve"> the different presentations of the disease warrant further study. Not only do studies like this one provide neurological support for race being considered an important factor in</w:t>
      </w:r>
      <w:r>
        <w:rPr>
          <w:rFonts w:ascii="Arial" w:eastAsia="Arial" w:hAnsi="Arial" w:cs="Arial"/>
          <w:sz w:val="24"/>
          <w:szCs w:val="24"/>
        </w:rPr>
        <w:t xml:space="preserve"> </w:t>
      </w:r>
      <w:r>
        <w:rPr>
          <w:rFonts w:ascii="Arial" w:eastAsia="Arial" w:hAnsi="Arial" w:cs="Arial"/>
          <w:color w:val="000000"/>
          <w:sz w:val="24"/>
          <w:szCs w:val="24"/>
        </w:rPr>
        <w:t xml:space="preserve">diagnosis and other investigations involving AD, but they also create a </w:t>
      </w:r>
      <w:r>
        <w:rPr>
          <w:rFonts w:ascii="Arial" w:eastAsia="Arial" w:hAnsi="Arial" w:cs="Arial"/>
          <w:sz w:val="24"/>
          <w:szCs w:val="24"/>
        </w:rPr>
        <w:t>more apparent</w:t>
      </w:r>
      <w:r>
        <w:rPr>
          <w:rFonts w:ascii="Arial" w:eastAsia="Arial" w:hAnsi="Arial" w:cs="Arial"/>
          <w:color w:val="000000"/>
          <w:sz w:val="24"/>
          <w:szCs w:val="24"/>
        </w:rPr>
        <w:t xml:space="preserve"> avenue to understanding and mitigating the disease.</w:t>
      </w:r>
    </w:p>
    <w:p w14:paraId="29FDC496"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076B6B30" w14:textId="77777777" w:rsidR="00ED6AEB" w:rsidRDefault="00ED6AEB" w:rsidP="00ED6AEB">
      <w:pPr>
        <w:pBdr>
          <w:top w:val="nil"/>
          <w:left w:val="nil"/>
          <w:bottom w:val="nil"/>
          <w:right w:val="nil"/>
          <w:between w:val="nil"/>
        </w:pBdr>
        <w:rPr>
          <w:rFonts w:ascii="Arial" w:eastAsia="Arial" w:hAnsi="Arial" w:cs="Arial"/>
          <w:color w:val="000000"/>
          <w:sz w:val="24"/>
          <w:szCs w:val="24"/>
          <w:u w:val="single"/>
        </w:rPr>
      </w:pPr>
    </w:p>
    <w:p w14:paraId="3EFBC8DC" w14:textId="77777777" w:rsidR="00ED6AEB" w:rsidRDefault="00ED6AEB" w:rsidP="00ED6A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t>References</w:t>
      </w:r>
    </w:p>
    <w:p w14:paraId="5C557125" w14:textId="77777777" w:rsidR="00ED6AEB" w:rsidRDefault="00ED6AEB" w:rsidP="00ED6AEB">
      <w:pPr>
        <w:pBdr>
          <w:top w:val="nil"/>
          <w:left w:val="nil"/>
          <w:bottom w:val="nil"/>
          <w:right w:val="nil"/>
          <w:between w:val="nil"/>
        </w:pBdr>
        <w:rPr>
          <w:rFonts w:ascii="Arial" w:eastAsia="Arial" w:hAnsi="Arial" w:cs="Arial"/>
          <w:color w:val="000000"/>
          <w:sz w:val="24"/>
          <w:szCs w:val="24"/>
        </w:rPr>
      </w:pPr>
    </w:p>
    <w:p w14:paraId="54E26E62" w14:textId="77777777" w:rsidR="00ED6AEB" w:rsidRDefault="00ED6AEB" w:rsidP="00ED6AEB">
      <w:pPr>
        <w:widowControl/>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Wei, P., </w:t>
      </w:r>
      <w:proofErr w:type="spellStart"/>
      <w:r>
        <w:rPr>
          <w:rFonts w:ascii="Arial" w:eastAsia="Arial" w:hAnsi="Arial" w:cs="Arial"/>
          <w:color w:val="000000"/>
          <w:sz w:val="24"/>
          <w:szCs w:val="24"/>
        </w:rPr>
        <w:t>Milbauer</w:t>
      </w:r>
      <w:proofErr w:type="spellEnd"/>
      <w:r>
        <w:rPr>
          <w:rFonts w:ascii="Arial" w:eastAsia="Arial" w:hAnsi="Arial" w:cs="Arial"/>
          <w:color w:val="000000"/>
          <w:sz w:val="24"/>
          <w:szCs w:val="24"/>
        </w:rPr>
        <w:t xml:space="preserve">, L., </w:t>
      </w:r>
      <w:proofErr w:type="spellStart"/>
      <w:r>
        <w:rPr>
          <w:rFonts w:ascii="Arial" w:eastAsia="Arial" w:hAnsi="Arial" w:cs="Arial"/>
          <w:color w:val="000000"/>
          <w:sz w:val="24"/>
          <w:szCs w:val="24"/>
        </w:rPr>
        <w:t>Enenstein</w:t>
      </w:r>
      <w:proofErr w:type="spellEnd"/>
      <w:r>
        <w:rPr>
          <w:rFonts w:ascii="Arial" w:eastAsia="Arial" w:hAnsi="Arial" w:cs="Arial"/>
          <w:color w:val="000000"/>
          <w:sz w:val="24"/>
          <w:szCs w:val="24"/>
        </w:rPr>
        <w:t>, J. </w:t>
      </w:r>
      <w:r>
        <w:rPr>
          <w:rFonts w:ascii="Arial" w:eastAsia="Arial" w:hAnsi="Arial" w:cs="Arial"/>
          <w:i/>
          <w:color w:val="000000"/>
          <w:sz w:val="24"/>
          <w:szCs w:val="24"/>
        </w:rPr>
        <w:t>et al.</w:t>
      </w:r>
      <w:r>
        <w:rPr>
          <w:rFonts w:ascii="Arial" w:eastAsia="Arial" w:hAnsi="Arial" w:cs="Arial"/>
          <w:color w:val="000000"/>
          <w:sz w:val="24"/>
          <w:szCs w:val="24"/>
        </w:rPr>
        <w:t> Differential endothelial cell gene expression by African Americans </w:t>
      </w:r>
      <w:r>
        <w:rPr>
          <w:rFonts w:ascii="Arial" w:eastAsia="Arial" w:hAnsi="Arial" w:cs="Arial"/>
          <w:i/>
          <w:color w:val="000000"/>
          <w:sz w:val="24"/>
          <w:szCs w:val="24"/>
        </w:rPr>
        <w:t xml:space="preserve">versus </w:t>
      </w:r>
      <w:r>
        <w:rPr>
          <w:rFonts w:ascii="Arial" w:eastAsia="Arial" w:hAnsi="Arial" w:cs="Arial"/>
          <w:color w:val="000000"/>
          <w:sz w:val="24"/>
          <w:szCs w:val="24"/>
        </w:rPr>
        <w:t>Caucasian Americans: a possible contribution to health disparity in vascular disease and cancer. </w:t>
      </w:r>
      <w:r>
        <w:rPr>
          <w:rFonts w:ascii="Arial" w:eastAsia="Arial" w:hAnsi="Arial" w:cs="Arial"/>
          <w:i/>
          <w:color w:val="000000"/>
          <w:sz w:val="24"/>
          <w:szCs w:val="24"/>
        </w:rPr>
        <w:t>BMC Med</w:t>
      </w:r>
      <w:r>
        <w:rPr>
          <w:rFonts w:ascii="Arial" w:eastAsia="Arial" w:hAnsi="Arial" w:cs="Arial"/>
          <w:color w:val="000000"/>
          <w:sz w:val="24"/>
          <w:szCs w:val="24"/>
        </w:rPr>
        <w:t> </w:t>
      </w:r>
      <w:r>
        <w:rPr>
          <w:rFonts w:ascii="Arial" w:eastAsia="Arial" w:hAnsi="Arial" w:cs="Arial"/>
          <w:b/>
          <w:color w:val="000000"/>
          <w:sz w:val="24"/>
          <w:szCs w:val="24"/>
        </w:rPr>
        <w:t>9, </w:t>
      </w:r>
      <w:r>
        <w:rPr>
          <w:rFonts w:ascii="Arial" w:eastAsia="Arial" w:hAnsi="Arial" w:cs="Arial"/>
          <w:color w:val="000000"/>
          <w:sz w:val="24"/>
          <w:szCs w:val="24"/>
        </w:rPr>
        <w:t xml:space="preserve">2 (2011). </w:t>
      </w:r>
      <w:hyperlink r:id="rId10">
        <w:r>
          <w:rPr>
            <w:rFonts w:ascii="Arial" w:eastAsia="Arial" w:hAnsi="Arial" w:cs="Arial"/>
            <w:color w:val="0563C1"/>
            <w:sz w:val="24"/>
            <w:szCs w:val="24"/>
            <w:u w:val="single"/>
          </w:rPr>
          <w:t>https://doi.org/10.1186/1741-7015-9-2</w:t>
        </w:r>
      </w:hyperlink>
    </w:p>
    <w:p w14:paraId="0DB18C8E" w14:textId="77777777" w:rsidR="00ED6AEB" w:rsidRDefault="00ED6AEB" w:rsidP="00ED6AEB">
      <w:pPr>
        <w:widowControl/>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Barnes, L. L., &amp; Bennett, D. A. Alzheimer’s disease In African Americans: Risk factors and challenges for the future. </w:t>
      </w:r>
      <w:r>
        <w:rPr>
          <w:rFonts w:ascii="Arial" w:eastAsia="Arial" w:hAnsi="Arial" w:cs="Arial"/>
          <w:i/>
          <w:color w:val="000000"/>
          <w:sz w:val="24"/>
          <w:szCs w:val="24"/>
        </w:rPr>
        <w:t>Health Affairs,</w:t>
      </w:r>
      <w:r>
        <w:rPr>
          <w:rFonts w:ascii="Arial" w:eastAsia="Arial" w:hAnsi="Arial" w:cs="Arial"/>
          <w:color w:val="000000"/>
          <w:sz w:val="24"/>
          <w:szCs w:val="24"/>
        </w:rPr>
        <w:t xml:space="preserve"> </w:t>
      </w:r>
      <w:r>
        <w:rPr>
          <w:rFonts w:ascii="Arial" w:eastAsia="Arial" w:hAnsi="Arial" w:cs="Arial"/>
          <w:i/>
          <w:color w:val="000000"/>
          <w:sz w:val="24"/>
          <w:szCs w:val="24"/>
        </w:rPr>
        <w:t>33</w:t>
      </w:r>
      <w:r>
        <w:rPr>
          <w:rFonts w:ascii="Arial" w:eastAsia="Arial" w:hAnsi="Arial" w:cs="Arial"/>
          <w:color w:val="000000"/>
          <w:sz w:val="24"/>
          <w:szCs w:val="24"/>
        </w:rPr>
        <w:t>(4), 580-586.  (2014</w:t>
      </w:r>
      <w:proofErr w:type="gramStart"/>
      <w:r>
        <w:rPr>
          <w:rFonts w:ascii="Arial" w:eastAsia="Arial" w:hAnsi="Arial" w:cs="Arial"/>
          <w:color w:val="000000"/>
          <w:sz w:val="24"/>
          <w:szCs w:val="24"/>
        </w:rPr>
        <w:t>).doi</w:t>
      </w:r>
      <w:proofErr w:type="gramEnd"/>
      <w:r>
        <w:rPr>
          <w:rFonts w:ascii="Arial" w:eastAsia="Arial" w:hAnsi="Arial" w:cs="Arial"/>
          <w:color w:val="000000"/>
          <w:sz w:val="24"/>
          <w:szCs w:val="24"/>
        </w:rPr>
        <w:t>:10.1377/hlthaff.2013.1353</w:t>
      </w:r>
    </w:p>
    <w:p w14:paraId="6F69ED17" w14:textId="77777777" w:rsidR="00ED6AEB" w:rsidRDefault="00ED6AEB" w:rsidP="00ED6AEB">
      <w:pPr>
        <w:widowControl/>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Andrews-Hanna JR, </w:t>
      </w:r>
      <w:proofErr w:type="spellStart"/>
      <w:r>
        <w:rPr>
          <w:rFonts w:ascii="Arial" w:eastAsia="Arial" w:hAnsi="Arial" w:cs="Arial"/>
          <w:color w:val="000000"/>
          <w:sz w:val="24"/>
          <w:szCs w:val="24"/>
        </w:rPr>
        <w:t>Reidler</w:t>
      </w:r>
      <w:proofErr w:type="spellEnd"/>
      <w:r>
        <w:rPr>
          <w:rFonts w:ascii="Arial" w:eastAsia="Arial" w:hAnsi="Arial" w:cs="Arial"/>
          <w:color w:val="000000"/>
          <w:sz w:val="24"/>
          <w:szCs w:val="24"/>
        </w:rPr>
        <w:t xml:space="preserve"> JS, </w:t>
      </w:r>
      <w:proofErr w:type="spellStart"/>
      <w:r>
        <w:rPr>
          <w:rFonts w:ascii="Arial" w:eastAsia="Arial" w:hAnsi="Arial" w:cs="Arial"/>
          <w:color w:val="000000"/>
          <w:sz w:val="24"/>
          <w:szCs w:val="24"/>
        </w:rPr>
        <w:t>Sepulcre</w:t>
      </w:r>
      <w:proofErr w:type="spellEnd"/>
      <w:r>
        <w:rPr>
          <w:rFonts w:ascii="Arial" w:eastAsia="Arial" w:hAnsi="Arial" w:cs="Arial"/>
          <w:color w:val="000000"/>
          <w:sz w:val="24"/>
          <w:szCs w:val="24"/>
        </w:rPr>
        <w:t xml:space="preserve"> J, Poulin R, Buckner RL. Functional-anatomic fractionation of the brain's default network. </w:t>
      </w:r>
      <w:r>
        <w:rPr>
          <w:rFonts w:ascii="Arial" w:eastAsia="Arial" w:hAnsi="Arial" w:cs="Arial"/>
          <w:i/>
          <w:color w:val="000000"/>
          <w:sz w:val="24"/>
          <w:szCs w:val="24"/>
        </w:rPr>
        <w:t>Neuron</w:t>
      </w:r>
      <w:r>
        <w:rPr>
          <w:rFonts w:ascii="Arial" w:eastAsia="Arial" w:hAnsi="Arial" w:cs="Arial"/>
          <w:color w:val="000000"/>
          <w:sz w:val="24"/>
          <w:szCs w:val="24"/>
        </w:rPr>
        <w:t xml:space="preserve">. (2010);65(4):550-562. </w:t>
      </w:r>
      <w:proofErr w:type="gramStart"/>
      <w:r>
        <w:rPr>
          <w:rFonts w:ascii="Arial" w:eastAsia="Arial" w:hAnsi="Arial" w:cs="Arial"/>
          <w:color w:val="000000"/>
          <w:sz w:val="24"/>
          <w:szCs w:val="24"/>
        </w:rPr>
        <w:t>doi:10.1016/j.neuron</w:t>
      </w:r>
      <w:proofErr w:type="gramEnd"/>
      <w:r>
        <w:rPr>
          <w:rFonts w:ascii="Arial" w:eastAsia="Arial" w:hAnsi="Arial" w:cs="Arial"/>
          <w:color w:val="000000"/>
          <w:sz w:val="24"/>
          <w:szCs w:val="24"/>
        </w:rPr>
        <w:t>.2010.02.005</w:t>
      </w:r>
    </w:p>
    <w:p w14:paraId="4DB96C76" w14:textId="77777777" w:rsidR="00ED6AEB" w:rsidRDefault="00ED6AEB" w:rsidP="00ED6AEB">
      <w:pPr>
        <w:widowControl/>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proofErr w:type="spellStart"/>
      <w:r>
        <w:rPr>
          <w:rFonts w:ascii="Arial" w:eastAsia="Arial" w:hAnsi="Arial" w:cs="Arial"/>
          <w:color w:val="000000"/>
          <w:sz w:val="24"/>
          <w:szCs w:val="24"/>
        </w:rPr>
        <w:t>Misiura</w:t>
      </w:r>
      <w:proofErr w:type="spellEnd"/>
      <w:r>
        <w:rPr>
          <w:rFonts w:ascii="Arial" w:eastAsia="Arial" w:hAnsi="Arial" w:cs="Arial"/>
          <w:color w:val="000000"/>
          <w:sz w:val="24"/>
          <w:szCs w:val="24"/>
        </w:rPr>
        <w:t xml:space="preserve">, M.B., Howell, J.C., Wu, J. </w:t>
      </w:r>
      <w:r>
        <w:rPr>
          <w:rFonts w:ascii="Arial" w:eastAsia="Arial" w:hAnsi="Arial" w:cs="Arial"/>
          <w:i/>
          <w:color w:val="000000"/>
          <w:sz w:val="24"/>
          <w:szCs w:val="24"/>
        </w:rPr>
        <w:t>et al.</w:t>
      </w:r>
      <w:r>
        <w:rPr>
          <w:rFonts w:ascii="Arial" w:eastAsia="Arial" w:hAnsi="Arial" w:cs="Arial"/>
          <w:color w:val="000000"/>
          <w:sz w:val="24"/>
          <w:szCs w:val="24"/>
        </w:rPr>
        <w:t xml:space="preserve"> Race modifies default mode connectivity in Alzheimer’s disease. </w:t>
      </w:r>
      <w:proofErr w:type="spellStart"/>
      <w:r>
        <w:rPr>
          <w:rFonts w:ascii="Arial" w:eastAsia="Arial" w:hAnsi="Arial" w:cs="Arial"/>
          <w:i/>
          <w:color w:val="000000"/>
          <w:sz w:val="24"/>
          <w:szCs w:val="24"/>
        </w:rPr>
        <w:t>Transl</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Neurodegener</w:t>
      </w:r>
      <w:proofErr w:type="spellEnd"/>
      <w:r>
        <w:rPr>
          <w:rFonts w:ascii="Arial" w:eastAsia="Arial" w:hAnsi="Arial" w:cs="Arial"/>
          <w:color w:val="000000"/>
          <w:sz w:val="24"/>
          <w:szCs w:val="24"/>
        </w:rPr>
        <w:t xml:space="preserve"> 9, 8 (2020). </w:t>
      </w:r>
      <w:hyperlink r:id="rId11">
        <w:r>
          <w:rPr>
            <w:rFonts w:ascii="Arial" w:eastAsia="Arial" w:hAnsi="Arial" w:cs="Arial"/>
            <w:color w:val="0563C1"/>
            <w:sz w:val="24"/>
            <w:szCs w:val="24"/>
            <w:u w:val="single"/>
          </w:rPr>
          <w:t>https://doi.org/10.1186/s40035-020-0186-4</w:t>
        </w:r>
      </w:hyperlink>
    </w:p>
    <w:p w14:paraId="54F337B4" w14:textId="4D75BBF8" w:rsidR="00B70E99" w:rsidRPr="00ED6AEB" w:rsidRDefault="00ED6AEB" w:rsidP="00ED6AEB">
      <w:pPr>
        <w:widowControl/>
        <w:numPr>
          <w:ilvl w:val="0"/>
          <w:numId w:val="4"/>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Pamela J LaMontagne, Tammie L.S. </w:t>
      </w:r>
      <w:proofErr w:type="spellStart"/>
      <w:r>
        <w:rPr>
          <w:rFonts w:ascii="Arial" w:eastAsia="Arial" w:hAnsi="Arial" w:cs="Arial"/>
          <w:color w:val="000000"/>
          <w:sz w:val="24"/>
          <w:szCs w:val="24"/>
        </w:rPr>
        <w:t>Benzinger</w:t>
      </w:r>
      <w:proofErr w:type="spellEnd"/>
      <w:r>
        <w:rPr>
          <w:rFonts w:ascii="Arial" w:eastAsia="Arial" w:hAnsi="Arial" w:cs="Arial"/>
          <w:color w:val="000000"/>
          <w:sz w:val="24"/>
          <w:szCs w:val="24"/>
        </w:rPr>
        <w:t xml:space="preserve">, John C. Morris, Sarah Keefe, Russ Hornbeck, </w:t>
      </w:r>
      <w:proofErr w:type="spellStart"/>
      <w:r>
        <w:rPr>
          <w:rFonts w:ascii="Arial" w:eastAsia="Arial" w:hAnsi="Arial" w:cs="Arial"/>
          <w:color w:val="000000"/>
          <w:sz w:val="24"/>
          <w:szCs w:val="24"/>
        </w:rPr>
        <w:t>Chengjie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Xiong</w:t>
      </w:r>
      <w:proofErr w:type="spellEnd"/>
      <w:r>
        <w:rPr>
          <w:rFonts w:ascii="Arial" w:eastAsia="Arial" w:hAnsi="Arial" w:cs="Arial"/>
          <w:color w:val="000000"/>
          <w:sz w:val="24"/>
          <w:szCs w:val="24"/>
        </w:rPr>
        <w:t xml:space="preserve">, Elizabeth Grant, Jason </w:t>
      </w:r>
      <w:proofErr w:type="spellStart"/>
      <w:r>
        <w:rPr>
          <w:rFonts w:ascii="Arial" w:eastAsia="Arial" w:hAnsi="Arial" w:cs="Arial"/>
          <w:color w:val="000000"/>
          <w:sz w:val="24"/>
          <w:szCs w:val="24"/>
        </w:rPr>
        <w:t>Hassenstab</w:t>
      </w:r>
      <w:proofErr w:type="spellEnd"/>
      <w:r>
        <w:rPr>
          <w:rFonts w:ascii="Arial" w:eastAsia="Arial" w:hAnsi="Arial" w:cs="Arial"/>
          <w:color w:val="000000"/>
          <w:sz w:val="24"/>
          <w:szCs w:val="24"/>
        </w:rPr>
        <w:t xml:space="preserve">, Krista </w:t>
      </w:r>
      <w:proofErr w:type="spellStart"/>
      <w:r>
        <w:rPr>
          <w:rFonts w:ascii="Arial" w:eastAsia="Arial" w:hAnsi="Arial" w:cs="Arial"/>
          <w:color w:val="000000"/>
          <w:sz w:val="24"/>
          <w:szCs w:val="24"/>
        </w:rPr>
        <w:t>Moulder</w:t>
      </w:r>
      <w:proofErr w:type="spellEnd"/>
      <w:r>
        <w:rPr>
          <w:rFonts w:ascii="Arial" w:eastAsia="Arial" w:hAnsi="Arial" w:cs="Arial"/>
          <w:color w:val="000000"/>
          <w:sz w:val="24"/>
          <w:szCs w:val="24"/>
        </w:rPr>
        <w:t xml:space="preserve">, Andrei </w:t>
      </w:r>
      <w:proofErr w:type="spellStart"/>
      <w:r>
        <w:rPr>
          <w:rFonts w:ascii="Arial" w:eastAsia="Arial" w:hAnsi="Arial" w:cs="Arial"/>
          <w:color w:val="000000"/>
          <w:sz w:val="24"/>
          <w:szCs w:val="24"/>
        </w:rPr>
        <w:t>Vlassenko</w:t>
      </w:r>
      <w:proofErr w:type="spellEnd"/>
      <w:r>
        <w:rPr>
          <w:rFonts w:ascii="Arial" w:eastAsia="Arial" w:hAnsi="Arial" w:cs="Arial"/>
          <w:color w:val="000000"/>
          <w:sz w:val="24"/>
          <w:szCs w:val="24"/>
        </w:rPr>
        <w:t xml:space="preserve">, Marcus E. </w:t>
      </w:r>
      <w:proofErr w:type="spellStart"/>
      <w:r>
        <w:rPr>
          <w:rFonts w:ascii="Arial" w:eastAsia="Arial" w:hAnsi="Arial" w:cs="Arial"/>
          <w:color w:val="000000"/>
          <w:sz w:val="24"/>
          <w:szCs w:val="24"/>
        </w:rPr>
        <w:t>Raichle</w:t>
      </w:r>
      <w:proofErr w:type="spellEnd"/>
      <w:r>
        <w:rPr>
          <w:rFonts w:ascii="Arial" w:eastAsia="Arial" w:hAnsi="Arial" w:cs="Arial"/>
          <w:color w:val="000000"/>
          <w:sz w:val="24"/>
          <w:szCs w:val="24"/>
        </w:rPr>
        <w:t xml:space="preserve">, Carlos </w:t>
      </w:r>
      <w:proofErr w:type="spellStart"/>
      <w:r>
        <w:rPr>
          <w:rFonts w:ascii="Arial" w:eastAsia="Arial" w:hAnsi="Arial" w:cs="Arial"/>
          <w:color w:val="000000"/>
          <w:sz w:val="24"/>
          <w:szCs w:val="24"/>
        </w:rPr>
        <w:t>Cruchaga</w:t>
      </w:r>
      <w:proofErr w:type="spellEnd"/>
      <w:r>
        <w:rPr>
          <w:rFonts w:ascii="Arial" w:eastAsia="Arial" w:hAnsi="Arial" w:cs="Arial"/>
          <w:color w:val="000000"/>
          <w:sz w:val="24"/>
          <w:szCs w:val="24"/>
        </w:rPr>
        <w:t xml:space="preserve">, Daniel Marcus, OASIS-3: Longitudinal Neuroimaging, Clinical, and Cognitive Dataset for Normal Aging and Alzheimer Disease. (2019). </w:t>
      </w:r>
      <w:proofErr w:type="spellStart"/>
      <w:r>
        <w:rPr>
          <w:rFonts w:ascii="Arial" w:eastAsia="Arial" w:hAnsi="Arial" w:cs="Arial"/>
          <w:color w:val="000000"/>
          <w:sz w:val="24"/>
          <w:szCs w:val="24"/>
        </w:rPr>
        <w:t>medRxiv</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doi</w:t>
      </w:r>
      <w:proofErr w:type="spellEnd"/>
      <w:r>
        <w:rPr>
          <w:rFonts w:ascii="Arial" w:eastAsia="Arial" w:hAnsi="Arial" w:cs="Arial"/>
          <w:color w:val="000000"/>
          <w:sz w:val="24"/>
          <w:szCs w:val="24"/>
        </w:rPr>
        <w:t xml:space="preserve">: </w:t>
      </w:r>
      <w:hyperlink r:id="rId12">
        <w:r>
          <w:rPr>
            <w:rFonts w:ascii="Arial" w:eastAsia="Arial" w:hAnsi="Arial" w:cs="Arial"/>
            <w:color w:val="0563C1"/>
            <w:sz w:val="24"/>
            <w:szCs w:val="24"/>
            <w:u w:val="single"/>
          </w:rPr>
          <w:t>10.1101/2019.12.13.19014902</w:t>
        </w:r>
      </w:hyperlink>
    </w:p>
    <w:sectPr w:rsidR="00B70E99" w:rsidRPr="00ED6AEB" w:rsidSect="00ED6AEB">
      <w:footerReference w:type="default" r:id="rId13"/>
      <w:pgSz w:w="11910" w:h="16840"/>
      <w:pgMar w:top="500" w:right="980" w:bottom="1560" w:left="1020" w:header="720" w:footer="13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C648" w14:textId="77777777" w:rsidR="006D3186" w:rsidRDefault="006D3186">
      <w:r>
        <w:separator/>
      </w:r>
    </w:p>
  </w:endnote>
  <w:endnote w:type="continuationSeparator" w:id="0">
    <w:p w14:paraId="58D6B100" w14:textId="77777777" w:rsidR="006D3186" w:rsidRDefault="006D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78D" w14:textId="77777777" w:rsidR="00430B4B" w:rsidRDefault="00ED6AEB">
    <w:pPr>
      <w:spacing w:line="14" w:lineRule="auto"/>
      <w:rPr>
        <w:sz w:val="20"/>
        <w:szCs w:val="20"/>
      </w:rPr>
    </w:pPr>
    <w:r>
      <w:rPr>
        <w:noProof/>
      </w:rPr>
      <w:pict w14:anchorId="2297F150">
        <v:shapetype id="_x0000_t202" coordsize="21600,21600" o:spt="202" path="m,l,21600r21600,l21600,xe">
          <v:stroke joinstyle="miter"/>
          <v:path gradientshapeok="t" o:connecttype="rect"/>
        </v:shapetype>
        <v:shape id="_x0000_s1025" type="#_x0000_t202" alt="" style="position:absolute;margin-left:293.15pt;margin-top:762.1pt;width:9pt;height:12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A36D" w14:textId="77777777" w:rsidR="006D3186" w:rsidRDefault="006D3186">
      <w:r>
        <w:separator/>
      </w:r>
    </w:p>
  </w:footnote>
  <w:footnote w:type="continuationSeparator" w:id="0">
    <w:p w14:paraId="117AE04A" w14:textId="77777777" w:rsidR="006D3186" w:rsidRDefault="006D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41E9"/>
    <w:multiLevelType w:val="multilevel"/>
    <w:tmpl w:val="912E2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2"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abstractNumId w:val="2"/>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2NALSJuamZhamJko6SsGpxcWZ+XkgBca1ALxNXCcsAAAA"/>
  </w:docVars>
  <w:rsids>
    <w:rsidRoot w:val="00430B4B"/>
    <w:rsid w:val="0005056F"/>
    <w:rsid w:val="000666FB"/>
    <w:rsid w:val="000876BF"/>
    <w:rsid w:val="000B3FF7"/>
    <w:rsid w:val="000C145B"/>
    <w:rsid w:val="000D049A"/>
    <w:rsid w:val="000E73CC"/>
    <w:rsid w:val="00180D99"/>
    <w:rsid w:val="001F323A"/>
    <w:rsid w:val="002042C0"/>
    <w:rsid w:val="002044BF"/>
    <w:rsid w:val="002114B8"/>
    <w:rsid w:val="002661BA"/>
    <w:rsid w:val="002707C2"/>
    <w:rsid w:val="00272DA2"/>
    <w:rsid w:val="002A4AF8"/>
    <w:rsid w:val="002F2F10"/>
    <w:rsid w:val="00317331"/>
    <w:rsid w:val="00323340"/>
    <w:rsid w:val="003C5D9D"/>
    <w:rsid w:val="003D4F3D"/>
    <w:rsid w:val="003E5ACF"/>
    <w:rsid w:val="003E725C"/>
    <w:rsid w:val="00430B4B"/>
    <w:rsid w:val="00434239"/>
    <w:rsid w:val="00441B32"/>
    <w:rsid w:val="004B3C0E"/>
    <w:rsid w:val="004C3A74"/>
    <w:rsid w:val="004D0D55"/>
    <w:rsid w:val="004E3E9C"/>
    <w:rsid w:val="005006F1"/>
    <w:rsid w:val="0052792C"/>
    <w:rsid w:val="005511D0"/>
    <w:rsid w:val="005B1E5D"/>
    <w:rsid w:val="005F0B2F"/>
    <w:rsid w:val="00602418"/>
    <w:rsid w:val="00602C69"/>
    <w:rsid w:val="006B5CC5"/>
    <w:rsid w:val="006C22D1"/>
    <w:rsid w:val="006C2F7F"/>
    <w:rsid w:val="006D3186"/>
    <w:rsid w:val="00702BD1"/>
    <w:rsid w:val="007120C6"/>
    <w:rsid w:val="00751E3F"/>
    <w:rsid w:val="00754CB4"/>
    <w:rsid w:val="0077182A"/>
    <w:rsid w:val="00776550"/>
    <w:rsid w:val="00805945"/>
    <w:rsid w:val="00834CA4"/>
    <w:rsid w:val="00872250"/>
    <w:rsid w:val="008B2C22"/>
    <w:rsid w:val="00906599"/>
    <w:rsid w:val="00912DA4"/>
    <w:rsid w:val="00942D73"/>
    <w:rsid w:val="009561B6"/>
    <w:rsid w:val="009808C4"/>
    <w:rsid w:val="00A02031"/>
    <w:rsid w:val="00A407F3"/>
    <w:rsid w:val="00A65C22"/>
    <w:rsid w:val="00A920CB"/>
    <w:rsid w:val="00AB1FE0"/>
    <w:rsid w:val="00AB2C59"/>
    <w:rsid w:val="00AC1853"/>
    <w:rsid w:val="00AF3EDA"/>
    <w:rsid w:val="00B14DED"/>
    <w:rsid w:val="00B25D31"/>
    <w:rsid w:val="00B63BBE"/>
    <w:rsid w:val="00B70E99"/>
    <w:rsid w:val="00B960F2"/>
    <w:rsid w:val="00BB616C"/>
    <w:rsid w:val="00BC5729"/>
    <w:rsid w:val="00BF74D5"/>
    <w:rsid w:val="00C12A2C"/>
    <w:rsid w:val="00C31CD5"/>
    <w:rsid w:val="00C45225"/>
    <w:rsid w:val="00C70B7A"/>
    <w:rsid w:val="00C92203"/>
    <w:rsid w:val="00C94057"/>
    <w:rsid w:val="00CB0A06"/>
    <w:rsid w:val="00CB2DFC"/>
    <w:rsid w:val="00CC07C7"/>
    <w:rsid w:val="00CF4A52"/>
    <w:rsid w:val="00D069E8"/>
    <w:rsid w:val="00D20879"/>
    <w:rsid w:val="00DB1EA4"/>
    <w:rsid w:val="00DB487C"/>
    <w:rsid w:val="00DC5642"/>
    <w:rsid w:val="00DD0F72"/>
    <w:rsid w:val="00E038A1"/>
    <w:rsid w:val="00E3487A"/>
    <w:rsid w:val="00E355AE"/>
    <w:rsid w:val="00E65777"/>
    <w:rsid w:val="00EB1C75"/>
    <w:rsid w:val="00ED3486"/>
    <w:rsid w:val="00ED6AEB"/>
    <w:rsid w:val="00EF258C"/>
    <w:rsid w:val="00F04C8A"/>
    <w:rsid w:val="00F408BF"/>
    <w:rsid w:val="00F645BF"/>
    <w:rsid w:val="00F73669"/>
    <w:rsid w:val="00FA267D"/>
    <w:rsid w:val="00FA47EE"/>
    <w:rsid w:val="00FB3A3C"/>
    <w:rsid w:val="00FD137E"/>
    <w:rsid w:val="00F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CC603C"/>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5C22"/>
    <w:rPr>
      <w:rFonts w:ascii="Times New Roman" w:eastAsia="Times New Roman" w:hAnsi="Times New Roman"/>
      <w:b/>
      <w:bCs/>
      <w:sz w:val="28"/>
      <w:szCs w:val="28"/>
    </w:rPr>
  </w:style>
  <w:style w:type="character" w:customStyle="1" w:styleId="BodyTextChar">
    <w:name w:val="Body Text Char"/>
    <w:basedOn w:val="DefaultParagraphFont"/>
    <w:link w:val="BodyText"/>
    <w:uiPriority w:val="1"/>
    <w:rsid w:val="00A65C22"/>
    <w:rPr>
      <w:rFonts w:ascii="Times New Roman" w:eastAsia="Times New Roman" w:hAnsi="Times New Roman"/>
      <w:sz w:val="20"/>
      <w:szCs w:val="20"/>
    </w:rPr>
  </w:style>
  <w:style w:type="paragraph" w:styleId="Bibliography">
    <w:name w:val="Bibliography"/>
    <w:basedOn w:val="Normal"/>
    <w:next w:val="Normal"/>
    <w:uiPriority w:val="37"/>
    <w:unhideWhenUsed/>
    <w:rsid w:val="00F73669"/>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1/2019.12.13.190149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40035-020-018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86/1741-7015-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39B4-6C6B-9B49-ADA9-4EC64801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May 2021</vt:lpstr>
      <vt:lpstr>Binary Cell Fate Decisions</vt:lpstr>
      <vt:lpstr>Studying Binary Cell Fate Decisions</vt:lpstr>
      <vt:lpstr>Self-complementing Split Fluorescent Proteins </vt:lpstr>
      <vt:lpstr>Conclusions</vt:lpstr>
      <vt:lpstr>References</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Colafranceschi</cp:lastModifiedBy>
  <cp:revision>25</cp:revision>
  <dcterms:created xsi:type="dcterms:W3CDTF">2021-05-12T18:55:00Z</dcterms:created>
  <dcterms:modified xsi:type="dcterms:W3CDTF">2021-06-01T02:58:00Z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y fmtid="{D5CDD505-2E9C-101B-9397-08002B2CF9AE}" pid="4" name="ZOTERO_PREF_1">
    <vt:lpwstr>&lt;data data-version="3" zotero-version="5.0.96.2"&gt;&lt;session id="PbKJDKnq"/&gt;&lt;style id="http://www.zotero.org/styles/apa" locale="en-US" hasBibliography="1" bibliographyStyleHasBeenSet="1"/&gt;&lt;prefs&gt;&lt;pref name="fieldType" value="Field"/&gt;&lt;pref name="automaticJou</vt:lpwstr>
  </property>
  <property fmtid="{D5CDD505-2E9C-101B-9397-08002B2CF9AE}" pid="5" name="ZOTERO_PREF_2">
    <vt:lpwstr>rnalAbbreviations" value="true"/&gt;&lt;/prefs&gt;&lt;/data&gt;</vt:lpwstr>
  </property>
</Properties>
</file>